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DDF89" w14:textId="77777777" w:rsidR="00AD38C4" w:rsidRPr="00AD38C4" w:rsidRDefault="00AD38C4" w:rsidP="00AD38C4">
      <w:pPr>
        <w:jc w:val="both"/>
        <w:rPr>
          <w:b/>
          <w:bCs/>
          <w:sz w:val="28"/>
          <w:szCs w:val="28"/>
          <w:lang w:val="en-AU"/>
        </w:rPr>
      </w:pPr>
      <w:r w:rsidRPr="00AD38C4">
        <w:rPr>
          <w:b/>
          <w:bCs/>
          <w:sz w:val="28"/>
          <w:szCs w:val="28"/>
          <w:lang w:val="en-AU"/>
        </w:rPr>
        <w:t xml:space="preserve">Scenario 1: Proposed Small-Scale Gravel Quarry at </w:t>
      </w:r>
      <w:proofErr w:type="spellStart"/>
      <w:r w:rsidRPr="00AD38C4">
        <w:rPr>
          <w:b/>
          <w:bCs/>
          <w:sz w:val="28"/>
          <w:szCs w:val="28"/>
          <w:lang w:val="en-AU"/>
        </w:rPr>
        <w:t>Mbalasuna</w:t>
      </w:r>
      <w:proofErr w:type="spellEnd"/>
    </w:p>
    <w:p w14:paraId="181582BC" w14:textId="77777777" w:rsidR="00AD38C4" w:rsidRPr="00AD38C4" w:rsidRDefault="00AD38C4" w:rsidP="00AD38C4">
      <w:pPr>
        <w:jc w:val="both"/>
        <w:rPr>
          <w:b/>
          <w:bCs/>
          <w:sz w:val="28"/>
          <w:szCs w:val="28"/>
          <w:lang w:val="en-AU"/>
        </w:rPr>
      </w:pPr>
    </w:p>
    <w:p w14:paraId="0C45125C" w14:textId="77777777" w:rsidR="00AD38C4" w:rsidRPr="00AD38C4" w:rsidRDefault="00AD38C4" w:rsidP="00AD38C4">
      <w:pPr>
        <w:jc w:val="both"/>
        <w:rPr>
          <w:sz w:val="28"/>
          <w:szCs w:val="28"/>
          <w:lang w:val="en-AU"/>
        </w:rPr>
      </w:pPr>
      <w:r w:rsidRPr="00AD38C4">
        <w:rPr>
          <w:b/>
          <w:bCs/>
          <w:sz w:val="28"/>
          <w:szCs w:val="28"/>
          <w:lang w:val="en-AU"/>
        </w:rPr>
        <w:t>Project Reference No:</w:t>
      </w:r>
      <w:r w:rsidRPr="00AD38C4">
        <w:rPr>
          <w:sz w:val="28"/>
          <w:szCs w:val="28"/>
          <w:lang w:val="en-AU"/>
        </w:rPr>
        <w:t xml:space="preserve"> MECDM/EIA/2024/016</w:t>
      </w:r>
    </w:p>
    <w:p w14:paraId="50DDFF67" w14:textId="77777777" w:rsidR="00AD38C4" w:rsidRPr="00AD38C4" w:rsidRDefault="00AD38C4" w:rsidP="00AD38C4">
      <w:pPr>
        <w:jc w:val="both"/>
        <w:rPr>
          <w:sz w:val="28"/>
          <w:szCs w:val="28"/>
          <w:lang w:val="en-AU"/>
        </w:rPr>
      </w:pPr>
      <w:r w:rsidRPr="00AD38C4">
        <w:rPr>
          <w:b/>
          <w:bCs/>
          <w:sz w:val="28"/>
          <w:szCs w:val="28"/>
          <w:lang w:val="en-AU"/>
        </w:rPr>
        <w:t>Project Name:</w:t>
      </w:r>
      <w:r w:rsidRPr="00AD38C4">
        <w:rPr>
          <w:sz w:val="28"/>
          <w:szCs w:val="28"/>
          <w:lang w:val="en-AU"/>
        </w:rPr>
        <w:t xml:space="preserve"> </w:t>
      </w:r>
      <w:proofErr w:type="spellStart"/>
      <w:r w:rsidRPr="00AD38C4">
        <w:rPr>
          <w:sz w:val="28"/>
          <w:szCs w:val="28"/>
          <w:lang w:val="en-AU"/>
        </w:rPr>
        <w:t>Mbalasuna</w:t>
      </w:r>
      <w:proofErr w:type="spellEnd"/>
      <w:r w:rsidRPr="00AD38C4">
        <w:rPr>
          <w:sz w:val="28"/>
          <w:szCs w:val="28"/>
          <w:lang w:val="en-AU"/>
        </w:rPr>
        <w:t xml:space="preserve"> Gravel Quarry Project</w:t>
      </w:r>
    </w:p>
    <w:p w14:paraId="6F9C0428" w14:textId="77777777" w:rsidR="00AD38C4" w:rsidRPr="00AD38C4" w:rsidRDefault="00AD38C4" w:rsidP="00AD38C4">
      <w:pPr>
        <w:jc w:val="both"/>
        <w:rPr>
          <w:sz w:val="28"/>
          <w:szCs w:val="28"/>
          <w:lang w:val="en-AU"/>
        </w:rPr>
      </w:pPr>
      <w:r w:rsidRPr="00AD38C4">
        <w:rPr>
          <w:b/>
          <w:bCs/>
          <w:sz w:val="28"/>
          <w:szCs w:val="28"/>
          <w:lang w:val="en-AU"/>
        </w:rPr>
        <w:t>Project Proponent:</w:t>
      </w:r>
      <w:r w:rsidRPr="00AD38C4">
        <w:rPr>
          <w:sz w:val="28"/>
          <w:szCs w:val="28"/>
          <w:lang w:val="en-AU"/>
        </w:rPr>
        <w:t xml:space="preserve"> Rocky Earthmovers Limited</w:t>
      </w:r>
    </w:p>
    <w:p w14:paraId="4F586865" w14:textId="77777777" w:rsidR="00AD38C4" w:rsidRPr="00AD38C4" w:rsidRDefault="00AD38C4" w:rsidP="00AD38C4">
      <w:pPr>
        <w:jc w:val="both"/>
        <w:rPr>
          <w:sz w:val="28"/>
          <w:szCs w:val="28"/>
          <w:lang w:val="en-AU"/>
        </w:rPr>
      </w:pPr>
      <w:r w:rsidRPr="00AD38C4">
        <w:rPr>
          <w:b/>
          <w:bCs/>
          <w:sz w:val="28"/>
          <w:szCs w:val="28"/>
          <w:lang w:val="en-AU"/>
        </w:rPr>
        <w:t>Proponent's Email:</w:t>
      </w:r>
      <w:r w:rsidRPr="00AD38C4">
        <w:rPr>
          <w:sz w:val="28"/>
          <w:szCs w:val="28"/>
          <w:lang w:val="en-AU"/>
        </w:rPr>
        <w:t xml:space="preserve"> </w:t>
      </w:r>
      <w:hyperlink r:id="rId5" w:tgtFrame="_blank" w:history="1">
        <w:r w:rsidRPr="00AD38C4">
          <w:rPr>
            <w:rStyle w:val="Hyperlink"/>
            <w:sz w:val="28"/>
            <w:szCs w:val="28"/>
          </w:rPr>
          <w:t>info@rockyearthmovers.com.sb</w:t>
        </w:r>
      </w:hyperlink>
    </w:p>
    <w:p w14:paraId="0DA9B9E5" w14:textId="77777777" w:rsidR="00AD38C4" w:rsidRPr="00AD38C4" w:rsidRDefault="00AD38C4" w:rsidP="00AD38C4">
      <w:pPr>
        <w:jc w:val="both"/>
        <w:rPr>
          <w:sz w:val="28"/>
          <w:szCs w:val="28"/>
          <w:lang w:val="en-AU"/>
        </w:rPr>
      </w:pPr>
      <w:r w:rsidRPr="00AD38C4">
        <w:rPr>
          <w:b/>
          <w:bCs/>
          <w:sz w:val="28"/>
          <w:szCs w:val="28"/>
          <w:lang w:val="en-AU"/>
        </w:rPr>
        <w:t>Proponent's Phone:</w:t>
      </w:r>
      <w:r w:rsidRPr="00AD38C4">
        <w:rPr>
          <w:sz w:val="28"/>
          <w:szCs w:val="28"/>
          <w:lang w:val="en-AU"/>
        </w:rPr>
        <w:t xml:space="preserve"> +677 27458</w:t>
      </w:r>
    </w:p>
    <w:p w14:paraId="434D3971" w14:textId="77777777" w:rsidR="00AD38C4" w:rsidRPr="00AD38C4" w:rsidRDefault="00AD38C4" w:rsidP="00AD38C4">
      <w:pPr>
        <w:jc w:val="both"/>
        <w:rPr>
          <w:sz w:val="28"/>
          <w:szCs w:val="28"/>
          <w:lang w:val="en-AU"/>
        </w:rPr>
      </w:pPr>
      <w:r w:rsidRPr="00AD38C4">
        <w:rPr>
          <w:b/>
          <w:bCs/>
          <w:sz w:val="28"/>
          <w:szCs w:val="28"/>
          <w:lang w:val="en-AU"/>
        </w:rPr>
        <w:t>Project Location:</w:t>
      </w:r>
      <w:r w:rsidRPr="00AD38C4">
        <w:rPr>
          <w:sz w:val="28"/>
          <w:szCs w:val="28"/>
          <w:lang w:val="en-AU"/>
        </w:rPr>
        <w:t xml:space="preserve"> </w:t>
      </w:r>
      <w:proofErr w:type="spellStart"/>
      <w:r w:rsidRPr="00AD38C4">
        <w:rPr>
          <w:sz w:val="28"/>
          <w:szCs w:val="28"/>
          <w:lang w:val="en-AU"/>
        </w:rPr>
        <w:t>Mbalasuna</w:t>
      </w:r>
      <w:proofErr w:type="spellEnd"/>
      <w:r w:rsidRPr="00AD38C4">
        <w:rPr>
          <w:sz w:val="28"/>
          <w:szCs w:val="28"/>
          <w:lang w:val="en-AU"/>
        </w:rPr>
        <w:t xml:space="preserve"> Village, Guadalcanal Province (9°33'52"S, 160°06'12"E)</w:t>
      </w:r>
    </w:p>
    <w:p w14:paraId="04A1872F" w14:textId="77777777" w:rsidR="00AD38C4" w:rsidRPr="00AD38C4" w:rsidRDefault="00AD38C4" w:rsidP="00AD38C4">
      <w:pPr>
        <w:jc w:val="both"/>
        <w:rPr>
          <w:sz w:val="28"/>
          <w:szCs w:val="28"/>
          <w:lang w:val="en-AU"/>
        </w:rPr>
      </w:pPr>
    </w:p>
    <w:p w14:paraId="43CBD577" w14:textId="77777777" w:rsidR="00AD38C4" w:rsidRPr="00AD38C4" w:rsidRDefault="00AD38C4" w:rsidP="00AD38C4">
      <w:pPr>
        <w:jc w:val="both"/>
        <w:rPr>
          <w:sz w:val="28"/>
          <w:szCs w:val="28"/>
          <w:lang w:val="en-AU"/>
        </w:rPr>
      </w:pPr>
      <w:r w:rsidRPr="00AD38C4">
        <w:rPr>
          <w:b/>
          <w:bCs/>
          <w:sz w:val="28"/>
          <w:szCs w:val="28"/>
          <w:lang w:val="en-AU"/>
        </w:rPr>
        <w:t>Type and Purpose:</w:t>
      </w:r>
      <w:r w:rsidRPr="00AD38C4">
        <w:rPr>
          <w:sz w:val="28"/>
          <w:szCs w:val="28"/>
          <w:lang w:val="en-AU"/>
        </w:rPr>
        <w:t xml:space="preserve"> The project involves the establishment of a small-scale gravel quarry mining operation to meet the increasing demand for construction aggregates in the Honiara region. The quarry will extract gravel, limestone, and silica using open-cast shallow mining methods without drilling or blasting. The gravel will be used to support various infrastructure and construction projects in Guadalcanal Province and Honiara.</w:t>
      </w:r>
    </w:p>
    <w:p w14:paraId="7DC90354" w14:textId="77777777" w:rsidR="00AD38C4" w:rsidRPr="00AD38C4" w:rsidRDefault="00AD38C4" w:rsidP="00AD38C4">
      <w:pPr>
        <w:jc w:val="both"/>
        <w:rPr>
          <w:sz w:val="28"/>
          <w:szCs w:val="28"/>
          <w:lang w:val="en-AU"/>
        </w:rPr>
      </w:pPr>
    </w:p>
    <w:p w14:paraId="2391AA33" w14:textId="77777777" w:rsidR="00AD38C4" w:rsidRPr="00AD38C4" w:rsidRDefault="00AD38C4" w:rsidP="00AD38C4">
      <w:pPr>
        <w:jc w:val="both"/>
        <w:rPr>
          <w:sz w:val="28"/>
          <w:szCs w:val="28"/>
          <w:lang w:val="en-AU"/>
        </w:rPr>
      </w:pPr>
      <w:r w:rsidRPr="00AD38C4">
        <w:rPr>
          <w:b/>
          <w:bCs/>
          <w:sz w:val="28"/>
          <w:szCs w:val="28"/>
          <w:lang w:val="en-AU"/>
        </w:rPr>
        <w:t>Project Description:</w:t>
      </w:r>
      <w:r w:rsidRPr="00AD38C4">
        <w:rPr>
          <w:sz w:val="28"/>
          <w:szCs w:val="28"/>
          <w:lang w:val="en-AU"/>
        </w:rPr>
        <w:t xml:space="preserve"> </w:t>
      </w:r>
    </w:p>
    <w:p w14:paraId="45D1597B" w14:textId="5FE5F4E7" w:rsidR="00AD38C4" w:rsidRPr="00AD38C4" w:rsidRDefault="00AD38C4" w:rsidP="00AD38C4">
      <w:pPr>
        <w:jc w:val="both"/>
        <w:rPr>
          <w:sz w:val="28"/>
          <w:szCs w:val="28"/>
          <w:lang w:val="en-AU"/>
        </w:rPr>
      </w:pPr>
      <w:r w:rsidRPr="00AD38C4">
        <w:rPr>
          <w:sz w:val="28"/>
          <w:szCs w:val="28"/>
          <w:lang w:val="en-AU"/>
        </w:rPr>
        <w:t xml:space="preserve">Rocky Earthmovers Limited has acquired a 10-year quarry lease from the local landowning tribes and is proposing to establish a gravel quarry on a 25-hectare site in </w:t>
      </w:r>
      <w:proofErr w:type="spellStart"/>
      <w:r w:rsidRPr="00AD38C4">
        <w:rPr>
          <w:sz w:val="28"/>
          <w:szCs w:val="28"/>
          <w:lang w:val="en-AU"/>
        </w:rPr>
        <w:t>Mbalasuna</w:t>
      </w:r>
      <w:proofErr w:type="spellEnd"/>
      <w:r w:rsidRPr="00AD38C4">
        <w:rPr>
          <w:sz w:val="28"/>
          <w:szCs w:val="28"/>
          <w:lang w:val="en-AU"/>
        </w:rPr>
        <w:t xml:space="preserve"> Village. The site is approximately 40 km northwest of Honiara and is covered in dense tropical </w:t>
      </w:r>
      <w:proofErr w:type="spellStart"/>
      <w:proofErr w:type="gramStart"/>
      <w:r w:rsidRPr="00AD38C4">
        <w:rPr>
          <w:sz w:val="28"/>
          <w:szCs w:val="28"/>
          <w:lang w:val="en-AU"/>
        </w:rPr>
        <w:t>vegetation.Key</w:t>
      </w:r>
      <w:proofErr w:type="spellEnd"/>
      <w:proofErr w:type="gramEnd"/>
      <w:r w:rsidRPr="00AD38C4">
        <w:rPr>
          <w:sz w:val="28"/>
          <w:szCs w:val="28"/>
          <w:lang w:val="en-AU"/>
        </w:rPr>
        <w:t xml:space="preserve"> components of the proposed quarry include:</w:t>
      </w:r>
    </w:p>
    <w:p w14:paraId="0B62A6AB" w14:textId="77777777" w:rsidR="00AD38C4" w:rsidRPr="00AD38C4" w:rsidRDefault="00AD38C4" w:rsidP="00AD38C4">
      <w:pPr>
        <w:numPr>
          <w:ilvl w:val="0"/>
          <w:numId w:val="1"/>
        </w:numPr>
        <w:jc w:val="both"/>
        <w:rPr>
          <w:sz w:val="28"/>
          <w:szCs w:val="28"/>
          <w:lang w:val="en-AU"/>
        </w:rPr>
      </w:pPr>
      <w:r w:rsidRPr="00AD38C4">
        <w:rPr>
          <w:sz w:val="28"/>
          <w:szCs w:val="28"/>
          <w:lang w:val="en-AU"/>
        </w:rPr>
        <w:t>Open-cast mining of gravel deposits up to 5m depth (3m above ground, 2m below)</w:t>
      </w:r>
    </w:p>
    <w:p w14:paraId="62A09F92" w14:textId="77777777" w:rsidR="00AD38C4" w:rsidRPr="00AD38C4" w:rsidRDefault="00AD38C4" w:rsidP="00AD38C4">
      <w:pPr>
        <w:numPr>
          <w:ilvl w:val="0"/>
          <w:numId w:val="1"/>
        </w:numPr>
        <w:jc w:val="both"/>
        <w:rPr>
          <w:sz w:val="28"/>
          <w:szCs w:val="28"/>
          <w:lang w:val="en-AU"/>
        </w:rPr>
      </w:pPr>
      <w:r w:rsidRPr="00AD38C4">
        <w:rPr>
          <w:sz w:val="28"/>
          <w:szCs w:val="28"/>
          <w:lang w:val="en-AU"/>
        </w:rPr>
        <w:t>Extraction of approximately 100,000 tonnes of gravel, limestone, and silica per annum</w:t>
      </w:r>
    </w:p>
    <w:p w14:paraId="47169FBF" w14:textId="77777777" w:rsidR="00AD38C4" w:rsidRPr="00AD38C4" w:rsidRDefault="00AD38C4" w:rsidP="00AD38C4">
      <w:pPr>
        <w:numPr>
          <w:ilvl w:val="0"/>
          <w:numId w:val="1"/>
        </w:numPr>
        <w:jc w:val="both"/>
        <w:rPr>
          <w:sz w:val="28"/>
          <w:szCs w:val="28"/>
          <w:lang w:val="en-AU"/>
        </w:rPr>
      </w:pPr>
      <w:r w:rsidRPr="00AD38C4">
        <w:rPr>
          <w:sz w:val="28"/>
          <w:szCs w:val="28"/>
          <w:lang w:val="en-AU"/>
        </w:rPr>
        <w:t>Establishment of a site office, equipment storage yard, and fuel storage facilities</w:t>
      </w:r>
    </w:p>
    <w:p w14:paraId="49FB37F4" w14:textId="77777777" w:rsidR="00AD38C4" w:rsidRPr="00AD38C4" w:rsidRDefault="00AD38C4" w:rsidP="00AD38C4">
      <w:pPr>
        <w:numPr>
          <w:ilvl w:val="0"/>
          <w:numId w:val="1"/>
        </w:numPr>
        <w:jc w:val="both"/>
        <w:rPr>
          <w:sz w:val="28"/>
          <w:szCs w:val="28"/>
          <w:lang w:val="en-AU"/>
        </w:rPr>
      </w:pPr>
      <w:r w:rsidRPr="00AD38C4">
        <w:rPr>
          <w:sz w:val="28"/>
          <w:szCs w:val="28"/>
          <w:lang w:val="en-AU"/>
        </w:rPr>
        <w:t xml:space="preserve">Designated stockpile areas for extracted materials and waste </w:t>
      </w:r>
      <w:proofErr w:type="gramStart"/>
      <w:r w:rsidRPr="00AD38C4">
        <w:rPr>
          <w:sz w:val="28"/>
          <w:szCs w:val="28"/>
          <w:lang w:val="en-AU"/>
        </w:rPr>
        <w:t>rock</w:t>
      </w:r>
      <w:proofErr w:type="gramEnd"/>
    </w:p>
    <w:p w14:paraId="459E761D" w14:textId="77777777" w:rsidR="00AD38C4" w:rsidRPr="00AD38C4" w:rsidRDefault="00AD38C4" w:rsidP="00AD38C4">
      <w:pPr>
        <w:numPr>
          <w:ilvl w:val="0"/>
          <w:numId w:val="1"/>
        </w:numPr>
        <w:jc w:val="both"/>
        <w:rPr>
          <w:sz w:val="28"/>
          <w:szCs w:val="28"/>
          <w:lang w:val="en-AU"/>
        </w:rPr>
      </w:pPr>
      <w:r w:rsidRPr="00AD38C4">
        <w:rPr>
          <w:sz w:val="28"/>
          <w:szCs w:val="28"/>
          <w:lang w:val="en-AU"/>
        </w:rPr>
        <w:t>Construction of a sediment pond for water collection and dust suppression</w:t>
      </w:r>
    </w:p>
    <w:p w14:paraId="2AB9097A" w14:textId="77777777" w:rsidR="00AD38C4" w:rsidRPr="00AD38C4" w:rsidRDefault="00AD38C4" w:rsidP="00AD38C4">
      <w:pPr>
        <w:jc w:val="both"/>
        <w:rPr>
          <w:sz w:val="28"/>
          <w:szCs w:val="28"/>
          <w:lang w:val="en-AU"/>
        </w:rPr>
      </w:pPr>
    </w:p>
    <w:p w14:paraId="6B2614A5" w14:textId="33ADB9AE" w:rsidR="00AD38C4" w:rsidRPr="00AD38C4" w:rsidRDefault="00AD38C4" w:rsidP="00AD38C4">
      <w:pPr>
        <w:jc w:val="both"/>
        <w:rPr>
          <w:sz w:val="28"/>
          <w:szCs w:val="28"/>
          <w:lang w:val="en-AU"/>
        </w:rPr>
      </w:pPr>
      <w:r w:rsidRPr="00AD38C4">
        <w:rPr>
          <w:sz w:val="28"/>
          <w:szCs w:val="28"/>
          <w:lang w:val="en-AU"/>
        </w:rPr>
        <w:t>The project area has sufficient reserves for over 20 years of operation based on the proposed extraction rate. No drilling or blasting is planned, and the proponent claims it will be an "eco-friendly" quarrying operation using excavators and haulers. The nearest residential area is around 1.5 km from the proposed quarry site.</w:t>
      </w:r>
    </w:p>
    <w:p w14:paraId="01CD3C56" w14:textId="1E6569AA" w:rsidR="0001022F" w:rsidRPr="00AD38C4" w:rsidRDefault="0001022F" w:rsidP="00AD38C4">
      <w:pPr>
        <w:jc w:val="both"/>
        <w:rPr>
          <w:sz w:val="28"/>
          <w:szCs w:val="28"/>
        </w:rPr>
      </w:pPr>
    </w:p>
    <w:sectPr w:rsidR="0001022F" w:rsidRPr="00AD38C4" w:rsidSect="000B35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341E6"/>
    <w:multiLevelType w:val="multilevel"/>
    <w:tmpl w:val="C966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1964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022F"/>
    <w:rsid w:val="0001022F"/>
    <w:rsid w:val="000B35D9"/>
    <w:rsid w:val="005B662C"/>
    <w:rsid w:val="00A6549B"/>
    <w:rsid w:val="00AD38C4"/>
    <w:rsid w:val="00B35423"/>
    <w:rsid w:val="00CC06A4"/>
    <w:rsid w:val="00D74A37"/>
    <w:rsid w:val="00DA1B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E170A"/>
  <w15:chartTrackingRefBased/>
  <w15:docId w15:val="{09F01BF4-FABA-4ECA-B9C9-A7A39C63F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bdr w:val="nil"/>
        <w:lang w:val="en-AU" w:eastAsia="en-US" w:bidi="ar-SA"/>
        <w14:ligatures w14:val="standardContextual"/>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6A4"/>
    <w:rPr>
      <w:sz w:val="24"/>
      <w:szCs w:val="24"/>
      <w:lang w:val="en-GB"/>
    </w:rPr>
  </w:style>
  <w:style w:type="paragraph" w:styleId="Heading1">
    <w:name w:val="heading 1"/>
    <w:basedOn w:val="Normal"/>
    <w:next w:val="Normal"/>
    <w:link w:val="Heading1Char"/>
    <w:uiPriority w:val="9"/>
    <w:qFormat/>
    <w:rsid w:val="00CC06A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0"/>
    </w:pPr>
    <w:rPr>
      <w:rFonts w:asciiTheme="majorHAnsi" w:eastAsiaTheme="majorEastAsia" w:hAnsiTheme="majorHAnsi" w:cstheme="majorBidi"/>
      <w:color w:val="365F91" w:themeColor="accent1" w:themeShade="BF"/>
      <w:sz w:val="32"/>
      <w:szCs w:val="32"/>
      <w:bdr w:val="none" w:sz="0" w:space="0" w:color="auto"/>
    </w:rPr>
  </w:style>
  <w:style w:type="paragraph" w:styleId="Heading2">
    <w:name w:val="heading 2"/>
    <w:basedOn w:val="Normal"/>
    <w:next w:val="Normal"/>
    <w:link w:val="Heading2Char"/>
    <w:uiPriority w:val="9"/>
    <w:semiHidden/>
    <w:unhideWhenUsed/>
    <w:qFormat/>
    <w:rsid w:val="0001022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1022F"/>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1022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1022F"/>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01022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022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022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022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6A4"/>
    <w:rPr>
      <w:rFonts w:asciiTheme="majorHAnsi" w:eastAsiaTheme="majorEastAsia" w:hAnsiTheme="majorHAnsi" w:cstheme="majorBidi"/>
      <w:color w:val="365F91" w:themeColor="accent1" w:themeShade="BF"/>
      <w:sz w:val="32"/>
      <w:szCs w:val="32"/>
      <w:bdr w:val="none" w:sz="0" w:space="0" w:color="auto"/>
      <w:lang w:val="en-US"/>
    </w:rPr>
  </w:style>
  <w:style w:type="paragraph" w:styleId="ListParagraph">
    <w:name w:val="List Paragraph"/>
    <w:basedOn w:val="Normal"/>
    <w:uiPriority w:val="34"/>
    <w:qFormat/>
    <w:rsid w:val="00CC06A4"/>
    <w:pPr>
      <w:ind w:left="720"/>
      <w:contextualSpacing/>
    </w:pPr>
  </w:style>
  <w:style w:type="character" w:customStyle="1" w:styleId="Heading2Char">
    <w:name w:val="Heading 2 Char"/>
    <w:basedOn w:val="DefaultParagraphFont"/>
    <w:link w:val="Heading2"/>
    <w:uiPriority w:val="9"/>
    <w:semiHidden/>
    <w:rsid w:val="0001022F"/>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semiHidden/>
    <w:rsid w:val="0001022F"/>
    <w:rPr>
      <w:rFonts w:asciiTheme="minorHAnsi" w:eastAsiaTheme="majorEastAsia" w:hAnsiTheme="minorHAnsi" w:cstheme="majorBidi"/>
      <w:color w:val="365F91" w:themeColor="accent1" w:themeShade="BF"/>
      <w:sz w:val="28"/>
      <w:szCs w:val="28"/>
      <w:lang w:val="en-GB"/>
    </w:rPr>
  </w:style>
  <w:style w:type="character" w:customStyle="1" w:styleId="Heading4Char">
    <w:name w:val="Heading 4 Char"/>
    <w:basedOn w:val="DefaultParagraphFont"/>
    <w:link w:val="Heading4"/>
    <w:uiPriority w:val="9"/>
    <w:semiHidden/>
    <w:rsid w:val="0001022F"/>
    <w:rPr>
      <w:rFonts w:asciiTheme="minorHAnsi" w:eastAsiaTheme="majorEastAsia" w:hAnsiTheme="minorHAnsi" w:cstheme="majorBidi"/>
      <w:i/>
      <w:iCs/>
      <w:color w:val="365F91" w:themeColor="accent1" w:themeShade="BF"/>
      <w:sz w:val="24"/>
      <w:szCs w:val="24"/>
      <w:lang w:val="en-GB"/>
    </w:rPr>
  </w:style>
  <w:style w:type="character" w:customStyle="1" w:styleId="Heading5Char">
    <w:name w:val="Heading 5 Char"/>
    <w:basedOn w:val="DefaultParagraphFont"/>
    <w:link w:val="Heading5"/>
    <w:uiPriority w:val="9"/>
    <w:semiHidden/>
    <w:rsid w:val="0001022F"/>
    <w:rPr>
      <w:rFonts w:asciiTheme="minorHAnsi" w:eastAsiaTheme="majorEastAsia" w:hAnsiTheme="minorHAnsi" w:cstheme="majorBidi"/>
      <w:color w:val="365F91" w:themeColor="accent1" w:themeShade="BF"/>
      <w:sz w:val="24"/>
      <w:szCs w:val="24"/>
      <w:lang w:val="en-GB"/>
    </w:rPr>
  </w:style>
  <w:style w:type="character" w:customStyle="1" w:styleId="Heading6Char">
    <w:name w:val="Heading 6 Char"/>
    <w:basedOn w:val="DefaultParagraphFont"/>
    <w:link w:val="Heading6"/>
    <w:uiPriority w:val="9"/>
    <w:semiHidden/>
    <w:rsid w:val="0001022F"/>
    <w:rPr>
      <w:rFonts w:asciiTheme="minorHAnsi" w:eastAsiaTheme="majorEastAsia" w:hAnsiTheme="minorHAnsi" w:cstheme="majorBidi"/>
      <w:i/>
      <w:iCs/>
      <w:color w:val="595959" w:themeColor="text1" w:themeTint="A6"/>
      <w:sz w:val="24"/>
      <w:szCs w:val="24"/>
      <w:lang w:val="en-GB"/>
    </w:rPr>
  </w:style>
  <w:style w:type="character" w:customStyle="1" w:styleId="Heading7Char">
    <w:name w:val="Heading 7 Char"/>
    <w:basedOn w:val="DefaultParagraphFont"/>
    <w:link w:val="Heading7"/>
    <w:uiPriority w:val="9"/>
    <w:semiHidden/>
    <w:rsid w:val="0001022F"/>
    <w:rPr>
      <w:rFonts w:asciiTheme="minorHAnsi" w:eastAsiaTheme="majorEastAsia" w:hAnsiTheme="minorHAnsi" w:cstheme="majorBidi"/>
      <w:color w:val="595959" w:themeColor="text1" w:themeTint="A6"/>
      <w:sz w:val="24"/>
      <w:szCs w:val="24"/>
      <w:lang w:val="en-GB"/>
    </w:rPr>
  </w:style>
  <w:style w:type="character" w:customStyle="1" w:styleId="Heading8Char">
    <w:name w:val="Heading 8 Char"/>
    <w:basedOn w:val="DefaultParagraphFont"/>
    <w:link w:val="Heading8"/>
    <w:uiPriority w:val="9"/>
    <w:semiHidden/>
    <w:rsid w:val="0001022F"/>
    <w:rPr>
      <w:rFonts w:asciiTheme="minorHAnsi" w:eastAsiaTheme="majorEastAsia" w:hAnsiTheme="minorHAnsi" w:cstheme="majorBidi"/>
      <w:i/>
      <w:iCs/>
      <w:color w:val="272727" w:themeColor="text1" w:themeTint="D8"/>
      <w:sz w:val="24"/>
      <w:szCs w:val="24"/>
      <w:lang w:val="en-GB"/>
    </w:rPr>
  </w:style>
  <w:style w:type="character" w:customStyle="1" w:styleId="Heading9Char">
    <w:name w:val="Heading 9 Char"/>
    <w:basedOn w:val="DefaultParagraphFont"/>
    <w:link w:val="Heading9"/>
    <w:uiPriority w:val="9"/>
    <w:semiHidden/>
    <w:rsid w:val="0001022F"/>
    <w:rPr>
      <w:rFonts w:asciiTheme="minorHAnsi" w:eastAsiaTheme="majorEastAsia" w:hAnsiTheme="minorHAnsi" w:cstheme="majorBidi"/>
      <w:color w:val="272727" w:themeColor="text1" w:themeTint="D8"/>
      <w:sz w:val="24"/>
      <w:szCs w:val="24"/>
      <w:lang w:val="en-GB"/>
    </w:rPr>
  </w:style>
  <w:style w:type="paragraph" w:styleId="Title">
    <w:name w:val="Title"/>
    <w:basedOn w:val="Normal"/>
    <w:next w:val="Normal"/>
    <w:link w:val="TitleChar"/>
    <w:uiPriority w:val="10"/>
    <w:qFormat/>
    <w:rsid w:val="000102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22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01022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22F"/>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0102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022F"/>
    <w:rPr>
      <w:i/>
      <w:iCs/>
      <w:color w:val="404040" w:themeColor="text1" w:themeTint="BF"/>
      <w:sz w:val="24"/>
      <w:szCs w:val="24"/>
      <w:lang w:val="en-GB"/>
    </w:rPr>
  </w:style>
  <w:style w:type="character" w:styleId="IntenseEmphasis">
    <w:name w:val="Intense Emphasis"/>
    <w:basedOn w:val="DefaultParagraphFont"/>
    <w:uiPriority w:val="21"/>
    <w:qFormat/>
    <w:rsid w:val="0001022F"/>
    <w:rPr>
      <w:i/>
      <w:iCs/>
      <w:color w:val="365F91" w:themeColor="accent1" w:themeShade="BF"/>
    </w:rPr>
  </w:style>
  <w:style w:type="paragraph" w:styleId="IntenseQuote">
    <w:name w:val="Intense Quote"/>
    <w:basedOn w:val="Normal"/>
    <w:next w:val="Normal"/>
    <w:link w:val="IntenseQuoteChar"/>
    <w:uiPriority w:val="30"/>
    <w:qFormat/>
    <w:rsid w:val="0001022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1022F"/>
    <w:rPr>
      <w:i/>
      <w:iCs/>
      <w:color w:val="365F91" w:themeColor="accent1" w:themeShade="BF"/>
      <w:sz w:val="24"/>
      <w:szCs w:val="24"/>
      <w:lang w:val="en-GB"/>
    </w:rPr>
  </w:style>
  <w:style w:type="character" w:styleId="IntenseReference">
    <w:name w:val="Intense Reference"/>
    <w:basedOn w:val="DefaultParagraphFont"/>
    <w:uiPriority w:val="32"/>
    <w:qFormat/>
    <w:rsid w:val="0001022F"/>
    <w:rPr>
      <w:b/>
      <w:bCs/>
      <w:smallCaps/>
      <w:color w:val="365F91" w:themeColor="accent1" w:themeShade="BF"/>
      <w:spacing w:val="5"/>
    </w:rPr>
  </w:style>
  <w:style w:type="paragraph" w:customStyle="1" w:styleId="whitespace-pre-wrap">
    <w:name w:val="whitespace-pre-wrap"/>
    <w:basedOn w:val="Normal"/>
    <w:rsid w:val="0001022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kern w:val="0"/>
      <w:bdr w:val="none" w:sz="0" w:space="0" w:color="auto"/>
      <w:lang w:val="en-AU" w:eastAsia="en-AU"/>
    </w:rPr>
  </w:style>
  <w:style w:type="character" w:styleId="Hyperlink">
    <w:name w:val="Hyperlink"/>
    <w:basedOn w:val="DefaultParagraphFont"/>
    <w:uiPriority w:val="99"/>
    <w:unhideWhenUsed/>
    <w:rsid w:val="0001022F"/>
    <w:rPr>
      <w:color w:val="0000FF"/>
      <w:u w:val="single"/>
    </w:rPr>
  </w:style>
  <w:style w:type="paragraph" w:customStyle="1" w:styleId="whitespace-normal">
    <w:name w:val="whitespace-normal"/>
    <w:basedOn w:val="Normal"/>
    <w:rsid w:val="0001022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kern w:val="0"/>
      <w:bdr w:val="none" w:sz="0" w:space="0" w:color="auto"/>
      <w:lang w:val="en-AU" w:eastAsia="en-AU"/>
    </w:rPr>
  </w:style>
  <w:style w:type="character" w:styleId="UnresolvedMention">
    <w:name w:val="Unresolved Mention"/>
    <w:basedOn w:val="DefaultParagraphFont"/>
    <w:uiPriority w:val="99"/>
    <w:semiHidden/>
    <w:unhideWhenUsed/>
    <w:rsid w:val="00D74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6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rockyearthmovers.com.s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Diarra</dc:creator>
  <cp:keywords/>
  <dc:description/>
  <cp:lastModifiedBy>Ivan Diarra</cp:lastModifiedBy>
  <cp:revision>2</cp:revision>
  <dcterms:created xsi:type="dcterms:W3CDTF">2024-03-12T04:43:00Z</dcterms:created>
  <dcterms:modified xsi:type="dcterms:W3CDTF">2024-03-12T04:56:00Z</dcterms:modified>
</cp:coreProperties>
</file>